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111A" w:rsidR="00E60A3B" w:rsidP="00D639B7" w:rsidRDefault="00002CB7" w14:paraId="719DBB64" w14:textId="35A7392C">
      <w:pPr>
        <w:ind w:right="3870"/>
        <w:rPr>
          <w:sz w:val="28"/>
          <w:szCs w:val="28"/>
        </w:rPr>
      </w:pPr>
      <w:r w:rsidRPr="002E111A">
        <w:rPr>
          <w:sz w:val="28"/>
          <w:szCs w:val="28"/>
        </w:rPr>
        <w:t>Key Terms for Classroom Level of Assessment</w:t>
      </w:r>
    </w:p>
    <w:tbl>
      <w:tblPr>
        <w:tblStyle w:val="TableGrid"/>
        <w:tblW w:w="9985" w:type="dxa"/>
        <w:tblLook w:val="04A0" w:firstRow="1" w:lastRow="0" w:firstColumn="1" w:lastColumn="0" w:noHBand="0" w:noVBand="1"/>
      </w:tblPr>
      <w:tblGrid>
        <w:gridCol w:w="805"/>
        <w:gridCol w:w="3870"/>
        <w:gridCol w:w="5310"/>
      </w:tblGrid>
      <w:tr w:rsidRPr="002E111A" w:rsidR="001F0ECE" w:rsidTr="59676F06" w14:paraId="286CFC33" w14:textId="77777777">
        <w:tc>
          <w:tcPr>
            <w:tcW w:w="805" w:type="dxa"/>
            <w:tcMar/>
          </w:tcPr>
          <w:p w:rsidRPr="002E111A" w:rsidR="001F0ECE" w:rsidP="0015098A" w:rsidRDefault="001F0ECE" w14:paraId="639007EC" w14:textId="4033C348">
            <w:pPr>
              <w:jc w:val="center"/>
              <w:rPr>
                <w:b/>
                <w:bCs/>
                <w:sz w:val="28"/>
                <w:szCs w:val="28"/>
              </w:rPr>
            </w:pPr>
            <w:r w:rsidRPr="002E111A">
              <w:rPr>
                <w:b/>
                <w:bCs/>
                <w:sz w:val="28"/>
                <w:szCs w:val="28"/>
              </w:rPr>
              <w:t>#</w:t>
            </w:r>
          </w:p>
        </w:tc>
        <w:tc>
          <w:tcPr>
            <w:tcW w:w="3870" w:type="dxa"/>
            <w:tcMar/>
          </w:tcPr>
          <w:p w:rsidRPr="002E111A" w:rsidR="001F0ECE" w:rsidP="0015098A" w:rsidRDefault="001F0ECE" w14:paraId="278CC353" w14:textId="19703002">
            <w:pPr>
              <w:ind w:right="-555"/>
              <w:jc w:val="center"/>
              <w:rPr>
                <w:b/>
                <w:bCs/>
                <w:sz w:val="28"/>
                <w:szCs w:val="28"/>
              </w:rPr>
            </w:pPr>
            <w:r w:rsidRPr="002E111A">
              <w:rPr>
                <w:b/>
                <w:bCs/>
                <w:sz w:val="28"/>
                <w:szCs w:val="28"/>
              </w:rPr>
              <w:t>Words</w:t>
            </w:r>
          </w:p>
        </w:tc>
        <w:tc>
          <w:tcPr>
            <w:tcW w:w="5310" w:type="dxa"/>
            <w:tcMar/>
          </w:tcPr>
          <w:p w:rsidRPr="002E111A" w:rsidR="001F0ECE" w:rsidP="0015098A" w:rsidRDefault="001F0ECE" w14:paraId="5E2E11C8" w14:textId="342514FA">
            <w:pPr>
              <w:jc w:val="center"/>
              <w:rPr>
                <w:b/>
                <w:bCs/>
                <w:sz w:val="28"/>
                <w:szCs w:val="28"/>
              </w:rPr>
            </w:pPr>
          </w:p>
        </w:tc>
      </w:tr>
      <w:tr w:rsidRPr="002E111A" w:rsidR="008069C6" w:rsidTr="59676F06" w14:paraId="5C7365AE" w14:textId="77777777">
        <w:tc>
          <w:tcPr>
            <w:tcW w:w="805" w:type="dxa"/>
            <w:tcMar/>
          </w:tcPr>
          <w:p w:rsidRPr="002E111A" w:rsidR="008069C6" w:rsidP="008069C6" w:rsidRDefault="008069C6" w14:paraId="05664712" w14:textId="6BFDD40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3FC143BF" w14:textId="2168A44E">
            <w:pPr>
              <w:rPr>
                <w:sz w:val="28"/>
                <w:szCs w:val="28"/>
              </w:rPr>
            </w:pPr>
            <w:r w:rsidRPr="002E111A">
              <w:rPr>
                <w:rFonts w:cs="Calibri"/>
                <w:kern w:val="0"/>
                <w:sz w:val="28"/>
                <w:szCs w:val="28"/>
              </w:rPr>
              <w:t>Alignment</w:t>
            </w:r>
          </w:p>
        </w:tc>
        <w:tc>
          <w:tcPr>
            <w:tcW w:w="5310" w:type="dxa"/>
            <w:shd w:val="clear" w:color="auto" w:fill="FFFFFF" w:themeFill="background1"/>
            <w:tcMar/>
          </w:tcPr>
          <w:p w:rsidRPr="002E111A" w:rsidR="008069C6" w:rsidP="008069C6" w:rsidRDefault="008069C6" w14:paraId="467412A3" w14:textId="77777777">
            <w:pPr>
              <w:autoSpaceDE w:val="0"/>
              <w:autoSpaceDN w:val="0"/>
              <w:adjustRightInd w:val="0"/>
              <w:rPr>
                <w:rFonts w:cs="Calibri"/>
                <w:kern w:val="0"/>
                <w:sz w:val="28"/>
                <w:szCs w:val="28"/>
              </w:rPr>
            </w:pPr>
            <w:r w:rsidRPr="002E111A">
              <w:rPr>
                <w:rFonts w:cs="Calibri"/>
                <w:kern w:val="0"/>
                <w:sz w:val="28"/>
                <w:szCs w:val="28"/>
              </w:rPr>
              <w:t>Refers to whether an assessment item measures any part (ideally, the</w:t>
            </w:r>
          </w:p>
          <w:p w:rsidRPr="002E111A" w:rsidR="008069C6" w:rsidP="008069C6" w:rsidRDefault="008069C6" w14:paraId="7450D7CA" w14:textId="6DFBC9EF">
            <w:pPr>
              <w:rPr>
                <w:sz w:val="28"/>
                <w:szCs w:val="28"/>
              </w:rPr>
            </w:pPr>
            <w:r w:rsidRPr="002E111A">
              <w:rPr>
                <w:rFonts w:cs="Calibri"/>
                <w:kern w:val="0"/>
                <w:sz w:val="28"/>
                <w:szCs w:val="28"/>
              </w:rPr>
              <w:t xml:space="preserve">most important part) of a content standard. Also refers to how much of a set of content standards an assessment instrument </w:t>
            </w:r>
            <w:proofErr w:type="gramStart"/>
            <w:r w:rsidRPr="002E111A">
              <w:rPr>
                <w:rFonts w:cs="Calibri"/>
                <w:kern w:val="0"/>
                <w:sz w:val="28"/>
                <w:szCs w:val="28"/>
              </w:rPr>
              <w:t>measures</w:t>
            </w:r>
            <w:proofErr w:type="gramEnd"/>
            <w:r w:rsidRPr="002E111A">
              <w:rPr>
                <w:rFonts w:cs="Calibri"/>
                <w:kern w:val="0"/>
                <w:sz w:val="28"/>
                <w:szCs w:val="28"/>
              </w:rPr>
              <w:t>.</w:t>
            </w:r>
          </w:p>
        </w:tc>
      </w:tr>
      <w:tr w:rsidRPr="002E111A" w:rsidR="001F0ECE" w:rsidTr="59676F06" w14:paraId="6FDADA04" w14:textId="77777777">
        <w:tc>
          <w:tcPr>
            <w:tcW w:w="805" w:type="dxa"/>
            <w:tcMar/>
          </w:tcPr>
          <w:p w:rsidRPr="002E111A" w:rsidR="001F0ECE" w:rsidP="00D639B7" w:rsidRDefault="001F0ECE" w14:paraId="7814027F"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32B0B767" w14:textId="7EBC3842">
            <w:pPr>
              <w:rPr>
                <w:sz w:val="28"/>
                <w:szCs w:val="28"/>
              </w:rPr>
            </w:pPr>
            <w:r w:rsidRPr="002E111A">
              <w:rPr>
                <w:sz w:val="28"/>
                <w:szCs w:val="28"/>
              </w:rPr>
              <w:t xml:space="preserve">Assessment  </w:t>
            </w:r>
          </w:p>
        </w:tc>
        <w:tc>
          <w:tcPr>
            <w:tcW w:w="5310" w:type="dxa"/>
            <w:shd w:val="clear" w:color="auto" w:fill="FFFFFF" w:themeFill="background1"/>
            <w:tcMar/>
          </w:tcPr>
          <w:p w:rsidRPr="002E111A" w:rsidR="001F0ECE" w:rsidP="005C404E" w:rsidRDefault="00234F2E" w14:paraId="4078A83C" w14:textId="15D83DDC">
            <w:pPr>
              <w:rPr>
                <w:sz w:val="28"/>
                <w:szCs w:val="28"/>
              </w:rPr>
            </w:pPr>
            <w:r w:rsidRPr="002E111A">
              <w:rPr>
                <w:sz w:val="28"/>
                <w:szCs w:val="28"/>
              </w:rPr>
              <w:t>The process of gathering evidence of student understanding to inform educational decisions and support continued student learning.</w:t>
            </w:r>
          </w:p>
        </w:tc>
      </w:tr>
      <w:tr w:rsidR="001F0ECE" w:rsidTr="59676F06" w14:paraId="552D0DFE" w14:textId="77777777">
        <w:tc>
          <w:tcPr>
            <w:tcW w:w="805" w:type="dxa"/>
            <w:tcMar/>
          </w:tcPr>
          <w:p w:rsidRPr="002E111A" w:rsidR="001F0ECE" w:rsidP="00D639B7" w:rsidRDefault="001F0ECE" w14:paraId="585F28DE"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55AFAEBB" w14:textId="666EB06E">
            <w:pPr>
              <w:rPr>
                <w:sz w:val="28"/>
                <w:szCs w:val="28"/>
              </w:rPr>
            </w:pPr>
            <w:r w:rsidRPr="002E111A">
              <w:rPr>
                <w:sz w:val="28"/>
                <w:szCs w:val="28"/>
              </w:rPr>
              <w:t>Assessment for Learning (F</w:t>
            </w:r>
            <w:r w:rsidRPr="002E111A" w:rsidR="00AD5CE1">
              <w:rPr>
                <w:sz w:val="28"/>
                <w:szCs w:val="28"/>
              </w:rPr>
              <w:t xml:space="preserve">ormative </w:t>
            </w:r>
            <w:r w:rsidRPr="002E111A">
              <w:rPr>
                <w:sz w:val="28"/>
                <w:szCs w:val="28"/>
              </w:rPr>
              <w:t>A</w:t>
            </w:r>
            <w:r w:rsidRPr="002E111A" w:rsidR="00AD5CE1">
              <w:rPr>
                <w:sz w:val="28"/>
                <w:szCs w:val="28"/>
              </w:rPr>
              <w:t>ssessment</w:t>
            </w:r>
            <w:r w:rsidRPr="002E111A">
              <w:rPr>
                <w:sz w:val="28"/>
                <w:szCs w:val="28"/>
              </w:rPr>
              <w:t xml:space="preserve">) </w:t>
            </w:r>
          </w:p>
        </w:tc>
        <w:tc>
          <w:tcPr>
            <w:tcW w:w="5310" w:type="dxa"/>
            <w:shd w:val="clear" w:color="auto" w:fill="FFFFFF" w:themeFill="background1"/>
            <w:tcMar/>
          </w:tcPr>
          <w:p w:rsidRPr="002E111A" w:rsidR="00F92800" w:rsidP="005C404E" w:rsidRDefault="00F92800" w14:paraId="4FCF0CDB" w14:textId="03CA34E2">
            <w:pPr>
              <w:rPr>
                <w:rFonts w:cs="Calibri"/>
                <w:kern w:val="0"/>
                <w:sz w:val="28"/>
                <w:szCs w:val="28"/>
              </w:rPr>
            </w:pPr>
            <w:r w:rsidRPr="002E111A">
              <w:rPr>
                <w:rFonts w:cs="Calibri"/>
                <w:kern w:val="0"/>
                <w:sz w:val="28"/>
                <w:szCs w:val="28"/>
              </w:rPr>
              <w:t xml:space="preserve">Assessment that takes place while instruction is occurring. The information is used to enhance instruction and student </w:t>
            </w:r>
            <w:r w:rsidRPr="002E111A" w:rsidR="00AD5CE1">
              <w:rPr>
                <w:rFonts w:cs="Calibri"/>
                <w:kern w:val="0"/>
                <w:sz w:val="28"/>
                <w:szCs w:val="28"/>
              </w:rPr>
              <w:t>understandi</w:t>
            </w:r>
            <w:r w:rsidRPr="002E111A">
              <w:rPr>
                <w:rFonts w:cs="Calibri"/>
                <w:kern w:val="0"/>
                <w:sz w:val="28"/>
                <w:szCs w:val="28"/>
              </w:rPr>
              <w:t>ng</w:t>
            </w:r>
            <w:r w:rsidRPr="002E111A" w:rsidR="00AD5CE1">
              <w:rPr>
                <w:rFonts w:cs="Calibri"/>
                <w:kern w:val="0"/>
                <w:sz w:val="28"/>
                <w:szCs w:val="28"/>
              </w:rPr>
              <w:t xml:space="preserve"> during the learning to determine and enhance “next steps” for </w:t>
            </w:r>
            <w:proofErr w:type="gramStart"/>
            <w:r w:rsidRPr="002E111A" w:rsidR="00AD5CE1">
              <w:rPr>
                <w:rFonts w:cs="Calibri"/>
                <w:kern w:val="0"/>
                <w:sz w:val="28"/>
                <w:szCs w:val="28"/>
              </w:rPr>
              <w:t>each and every</w:t>
            </w:r>
            <w:proofErr w:type="gramEnd"/>
            <w:r w:rsidRPr="002E111A" w:rsidR="00AD5CE1">
              <w:rPr>
                <w:rFonts w:cs="Calibri"/>
                <w:kern w:val="0"/>
                <w:sz w:val="28"/>
                <w:szCs w:val="28"/>
              </w:rPr>
              <w:t xml:space="preserve"> student.</w:t>
            </w:r>
          </w:p>
        </w:tc>
      </w:tr>
      <w:tr w:rsidR="001F0ECE" w:rsidTr="59676F06" w14:paraId="3F1B6B71" w14:textId="77777777">
        <w:tc>
          <w:tcPr>
            <w:tcW w:w="805" w:type="dxa"/>
            <w:tcMar/>
          </w:tcPr>
          <w:p w:rsidRPr="002E111A" w:rsidR="001F0ECE" w:rsidP="00D639B7" w:rsidRDefault="001F0ECE" w14:paraId="3C7E9A59"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5FF41056" w14:textId="102B4CC5">
            <w:pPr>
              <w:rPr>
                <w:sz w:val="28"/>
                <w:szCs w:val="28"/>
              </w:rPr>
            </w:pPr>
            <w:r w:rsidRPr="002E111A">
              <w:rPr>
                <w:sz w:val="28"/>
                <w:szCs w:val="28"/>
              </w:rPr>
              <w:t xml:space="preserve">Assessment of Learning (Summative) </w:t>
            </w:r>
          </w:p>
        </w:tc>
        <w:tc>
          <w:tcPr>
            <w:tcW w:w="5310" w:type="dxa"/>
            <w:shd w:val="clear" w:color="auto" w:fill="FFFFFF" w:themeFill="background1"/>
            <w:tcMar/>
          </w:tcPr>
          <w:p w:rsidRPr="002E111A" w:rsidR="00F92800" w:rsidP="005C404E" w:rsidRDefault="00F92800" w14:paraId="3123A270" w14:textId="0A273735">
            <w:pPr>
              <w:tabs>
                <w:tab w:val="left" w:pos="1340"/>
              </w:tabs>
              <w:rPr>
                <w:rFonts w:cs="Calibri"/>
                <w:kern w:val="0"/>
                <w:sz w:val="28"/>
                <w:szCs w:val="28"/>
              </w:rPr>
            </w:pPr>
            <w:r w:rsidRPr="002E111A">
              <w:rPr>
                <w:rFonts w:cs="Calibri"/>
                <w:kern w:val="0"/>
                <w:sz w:val="28"/>
                <w:szCs w:val="28"/>
              </w:rPr>
              <w:t>Summative measures of student achievement used at the conclusion of instruction, when little or no new instruction is anticipated on the content assessed.</w:t>
            </w:r>
          </w:p>
        </w:tc>
      </w:tr>
      <w:tr w:rsidR="001F0ECE" w:rsidTr="59676F06" w14:paraId="49FF79C9" w14:textId="77777777">
        <w:tc>
          <w:tcPr>
            <w:tcW w:w="805" w:type="dxa"/>
            <w:tcMar/>
          </w:tcPr>
          <w:p w:rsidRPr="002E111A" w:rsidR="001F0ECE" w:rsidP="00D639B7" w:rsidRDefault="001F0ECE" w14:paraId="19F5B634"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025BAECE" w14:textId="682CD770">
            <w:pPr>
              <w:rPr>
                <w:sz w:val="28"/>
                <w:szCs w:val="28"/>
              </w:rPr>
            </w:pPr>
            <w:r w:rsidRPr="002E111A">
              <w:rPr>
                <w:sz w:val="28"/>
                <w:szCs w:val="28"/>
              </w:rPr>
              <w:t xml:space="preserve">Balanced Assessment System  </w:t>
            </w:r>
          </w:p>
        </w:tc>
        <w:tc>
          <w:tcPr>
            <w:tcW w:w="5310" w:type="dxa"/>
            <w:shd w:val="clear" w:color="auto" w:fill="FFFFFF" w:themeFill="background1"/>
            <w:tcMar/>
          </w:tcPr>
          <w:p w:rsidRPr="002E111A" w:rsidR="001F0ECE" w:rsidP="005C404E" w:rsidRDefault="001F0ECE" w14:paraId="124DB402" w14:textId="464394B5">
            <w:pPr>
              <w:rPr>
                <w:strike/>
                <w:sz w:val="28"/>
                <w:szCs w:val="28"/>
              </w:rPr>
            </w:pPr>
            <w:r w:rsidRPr="002E111A">
              <w:rPr>
                <w:rFonts w:cs="Calibri"/>
                <w:kern w:val="0"/>
                <w:sz w:val="28"/>
                <w:szCs w:val="28"/>
              </w:rPr>
              <w:t>The use of different types of assessment for different purposes by different users. Can also mean the use of assessments for learning (to guide instruction as it is occurring) and of learning (to measure how much students have learned at the conclusion of instruction). All users have access to relevant assessment information.</w:t>
            </w:r>
          </w:p>
        </w:tc>
      </w:tr>
      <w:tr w:rsidR="008069C6" w:rsidTr="59676F06" w14:paraId="54336695" w14:textId="77777777">
        <w:tc>
          <w:tcPr>
            <w:tcW w:w="805" w:type="dxa"/>
            <w:tcMar/>
          </w:tcPr>
          <w:p w:rsidRPr="002E111A" w:rsidR="008069C6" w:rsidP="008069C6" w:rsidRDefault="008069C6" w14:paraId="3499F212"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10E85EB4" w14:textId="082F4730">
            <w:pPr>
              <w:rPr>
                <w:sz w:val="28"/>
                <w:szCs w:val="28"/>
              </w:rPr>
            </w:pPr>
            <w:r w:rsidRPr="002E111A">
              <w:rPr>
                <w:rFonts w:cs="Calibri"/>
                <w:sz w:val="28"/>
                <w:szCs w:val="28"/>
              </w:rPr>
              <w:t>Bias/Fairness</w:t>
            </w:r>
          </w:p>
        </w:tc>
        <w:tc>
          <w:tcPr>
            <w:tcW w:w="5310" w:type="dxa"/>
            <w:shd w:val="clear" w:color="auto" w:fill="FFFFFF" w:themeFill="background1"/>
            <w:tcMar/>
          </w:tcPr>
          <w:p w:rsidRPr="002E111A" w:rsidR="008069C6" w:rsidP="008069C6" w:rsidRDefault="008069C6" w14:paraId="3D85E1C7" w14:textId="18CABDB4">
            <w:pPr>
              <w:rPr>
                <w:rFonts w:cs="Calibri"/>
                <w:kern w:val="0"/>
                <w:sz w:val="28"/>
                <w:szCs w:val="28"/>
              </w:rPr>
            </w:pPr>
            <w:r w:rsidRPr="002E111A">
              <w:rPr>
                <w:rFonts w:cs="Calibri"/>
                <w:kern w:val="0"/>
                <w:sz w:val="28"/>
                <w:szCs w:val="28"/>
              </w:rPr>
              <w:t xml:space="preserve">The </w:t>
            </w:r>
            <w:proofErr w:type="gramStart"/>
            <w:r w:rsidRPr="002E111A">
              <w:rPr>
                <w:rFonts w:cs="Calibri"/>
                <w:kern w:val="0"/>
                <w:sz w:val="28"/>
                <w:szCs w:val="28"/>
              </w:rPr>
              <w:t>manner in which</w:t>
            </w:r>
            <w:proofErr w:type="gramEnd"/>
            <w:r w:rsidRPr="002E111A">
              <w:rPr>
                <w:rFonts w:cs="Calibri"/>
                <w:kern w:val="0"/>
                <w:sz w:val="28"/>
                <w:szCs w:val="28"/>
              </w:rPr>
              <w:t xml:space="preserve"> a test question is posed that disadvantages some students, due to factors other than their knowledge of the topic being assessed.</w:t>
            </w:r>
          </w:p>
        </w:tc>
      </w:tr>
      <w:tr w:rsidR="008069C6" w:rsidTr="59676F06" w14:paraId="53454AAC" w14:textId="77777777">
        <w:tc>
          <w:tcPr>
            <w:tcW w:w="805" w:type="dxa"/>
            <w:tcMar/>
          </w:tcPr>
          <w:p w:rsidRPr="002E111A" w:rsidR="008069C6" w:rsidP="008069C6" w:rsidRDefault="008069C6" w14:paraId="106FDEA3"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2EBCBF6D" w14:textId="01575363">
            <w:pPr>
              <w:rPr>
                <w:rFonts w:cs="Calibri"/>
                <w:sz w:val="28"/>
                <w:szCs w:val="28"/>
              </w:rPr>
            </w:pPr>
            <w:r w:rsidRPr="002E111A">
              <w:rPr>
                <w:rFonts w:cs="Calibri"/>
                <w:kern w:val="0"/>
                <w:sz w:val="28"/>
                <w:szCs w:val="28"/>
              </w:rPr>
              <w:t>Causation</w:t>
            </w:r>
          </w:p>
        </w:tc>
        <w:tc>
          <w:tcPr>
            <w:tcW w:w="5310" w:type="dxa"/>
            <w:shd w:val="clear" w:color="auto" w:fill="FFFFFF" w:themeFill="background1"/>
            <w:tcMar/>
          </w:tcPr>
          <w:p w:rsidRPr="002E111A" w:rsidR="008069C6" w:rsidP="008069C6" w:rsidRDefault="008069C6" w14:paraId="1A0880E3" w14:textId="0E26A62E">
            <w:pPr>
              <w:rPr>
                <w:rFonts w:cs="Calibri"/>
                <w:kern w:val="0"/>
                <w:sz w:val="28"/>
                <w:szCs w:val="28"/>
              </w:rPr>
            </w:pPr>
            <w:r w:rsidRPr="002E111A">
              <w:rPr>
                <w:rFonts w:cs="Calibri"/>
                <w:kern w:val="0"/>
                <w:sz w:val="28"/>
                <w:szCs w:val="28"/>
              </w:rPr>
              <w:t>A demonstration that one variable has a direct and predictable impact on another variable. Note: a correlation between two variables (e.g., poverty and student achievement) does not mean that one variable (poverty) causes the other one (low achievement).</w:t>
            </w:r>
          </w:p>
        </w:tc>
      </w:tr>
      <w:tr w:rsidR="008069C6" w:rsidTr="59676F06" w14:paraId="704E6218" w14:textId="77777777">
        <w:tc>
          <w:tcPr>
            <w:tcW w:w="805" w:type="dxa"/>
            <w:tcMar/>
          </w:tcPr>
          <w:p w:rsidRPr="002E111A" w:rsidR="008069C6" w:rsidP="008069C6" w:rsidRDefault="008069C6" w14:paraId="7D0B43D9"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3436D178" w14:textId="05850B2F">
            <w:pPr>
              <w:rPr>
                <w:rFonts w:cs="Calibri"/>
                <w:sz w:val="28"/>
                <w:szCs w:val="28"/>
              </w:rPr>
            </w:pPr>
            <w:r w:rsidRPr="002E111A">
              <w:rPr>
                <w:sz w:val="28"/>
                <w:szCs w:val="28"/>
              </w:rPr>
              <w:t>Cognitive Complexity (Rigor)</w:t>
            </w:r>
          </w:p>
        </w:tc>
        <w:tc>
          <w:tcPr>
            <w:tcW w:w="5310" w:type="dxa"/>
            <w:shd w:val="clear" w:color="auto" w:fill="FFFFFF" w:themeFill="background1"/>
            <w:tcMar/>
          </w:tcPr>
          <w:p w:rsidRPr="002E111A" w:rsidR="008069C6" w:rsidP="008069C6" w:rsidRDefault="008069C6" w14:paraId="360EC954" w14:textId="5C0AC1F8">
            <w:pPr>
              <w:rPr>
                <w:rFonts w:cs="Calibri"/>
                <w:kern w:val="0"/>
                <w:sz w:val="28"/>
                <w:szCs w:val="28"/>
              </w:rPr>
            </w:pPr>
            <w:r w:rsidRPr="002E111A">
              <w:rPr>
                <w:sz w:val="28"/>
                <w:szCs w:val="28"/>
              </w:rPr>
              <w:t>The type(s) of mental processing (i.e., thinking skills) required to solve problems and encourage students to question their assumptions while thinking more deeply and showing understanding beyond merely memorization and information recall. This may refer to Bloom’s Taxonomy, or other definitions of thinking skills.</w:t>
            </w:r>
          </w:p>
        </w:tc>
      </w:tr>
      <w:tr w:rsidR="008069C6" w:rsidTr="59676F06" w14:paraId="7832A8DC" w14:textId="77777777">
        <w:tc>
          <w:tcPr>
            <w:tcW w:w="805" w:type="dxa"/>
            <w:tcMar/>
          </w:tcPr>
          <w:p w:rsidRPr="002E111A" w:rsidR="008069C6" w:rsidP="008069C6" w:rsidRDefault="008069C6" w14:paraId="0947EF0E"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27AA9381" w14:textId="2E85641B">
            <w:pPr>
              <w:rPr>
                <w:rFonts w:cs="Calibri"/>
                <w:sz w:val="28"/>
                <w:szCs w:val="28"/>
              </w:rPr>
            </w:pPr>
            <w:r w:rsidRPr="002E111A">
              <w:rPr>
                <w:sz w:val="28"/>
                <w:szCs w:val="28"/>
              </w:rPr>
              <w:t>Coherence</w:t>
            </w:r>
          </w:p>
        </w:tc>
        <w:tc>
          <w:tcPr>
            <w:tcW w:w="5310" w:type="dxa"/>
            <w:shd w:val="clear" w:color="auto" w:fill="FFFFFF" w:themeFill="background1"/>
            <w:tcMar/>
          </w:tcPr>
          <w:p w:rsidRPr="002E111A" w:rsidR="008069C6" w:rsidP="008069C6" w:rsidRDefault="008069C6" w14:paraId="55E974CC" w14:textId="4E5E3D65">
            <w:pPr>
              <w:rPr>
                <w:rFonts w:cs="Calibri"/>
                <w:kern w:val="0"/>
                <w:sz w:val="28"/>
                <w:szCs w:val="28"/>
              </w:rPr>
            </w:pPr>
            <w:r w:rsidRPr="002E111A">
              <w:rPr>
                <w:sz w:val="28"/>
                <w:szCs w:val="28"/>
              </w:rPr>
              <w:t xml:space="preserve">A characteristic of a balanced assessment that ensures all elements of the system are coordinated, </w:t>
            </w:r>
            <w:r w:rsidRPr="002E111A">
              <w:rPr>
                <w:i/>
                <w:iCs/>
                <w:sz w:val="28"/>
                <w:szCs w:val="28"/>
              </w:rPr>
              <w:t>measure the same content and skills derived from the state content standards in a similar manner</w:t>
            </w:r>
            <w:r w:rsidRPr="002E111A">
              <w:rPr>
                <w:sz w:val="28"/>
                <w:szCs w:val="28"/>
              </w:rPr>
              <w:t>, and that the curricula, assessment, instruction and related professional learning are aligned with one another.</w:t>
            </w:r>
          </w:p>
        </w:tc>
      </w:tr>
      <w:tr w:rsidR="008069C6" w:rsidTr="59676F06" w14:paraId="02978E4D" w14:textId="77777777">
        <w:tc>
          <w:tcPr>
            <w:tcW w:w="805" w:type="dxa"/>
            <w:tcMar/>
          </w:tcPr>
          <w:p w:rsidRPr="002E111A" w:rsidR="008069C6" w:rsidP="008069C6" w:rsidRDefault="008069C6" w14:paraId="21A7747C"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302C7A16" w14:textId="282269E9">
            <w:pPr>
              <w:rPr>
                <w:sz w:val="28"/>
                <w:szCs w:val="28"/>
              </w:rPr>
            </w:pPr>
            <w:r w:rsidRPr="002E111A">
              <w:rPr>
                <w:rFonts w:cs="Calibri"/>
                <w:kern w:val="0"/>
                <w:sz w:val="28"/>
                <w:szCs w:val="28"/>
              </w:rPr>
              <w:t>Correlation</w:t>
            </w:r>
          </w:p>
        </w:tc>
        <w:tc>
          <w:tcPr>
            <w:tcW w:w="5310" w:type="dxa"/>
            <w:shd w:val="clear" w:color="auto" w:fill="FFFFFF" w:themeFill="background1"/>
            <w:tcMar/>
          </w:tcPr>
          <w:p w:rsidRPr="002E111A" w:rsidR="008069C6" w:rsidP="008069C6" w:rsidRDefault="008069C6" w14:paraId="35546AF2" w14:textId="4B45D434">
            <w:pPr>
              <w:rPr>
                <w:sz w:val="28"/>
                <w:szCs w:val="28"/>
              </w:rPr>
            </w:pPr>
            <w:r w:rsidRPr="002E111A">
              <w:rPr>
                <w:rFonts w:cs="Calibri"/>
                <w:kern w:val="0"/>
                <w:sz w:val="28"/>
                <w:szCs w:val="28"/>
              </w:rPr>
              <w:t xml:space="preserve">A demonstration that two variables move in the same or opposite manner. This does not mean that one variable causes the other. </w:t>
            </w:r>
          </w:p>
        </w:tc>
      </w:tr>
      <w:tr w:rsidR="008069C6" w:rsidTr="59676F06" w14:paraId="6E55C26A" w14:textId="77777777">
        <w:tc>
          <w:tcPr>
            <w:tcW w:w="805" w:type="dxa"/>
            <w:tcMar/>
          </w:tcPr>
          <w:p w:rsidRPr="002E111A" w:rsidR="008069C6" w:rsidP="008069C6" w:rsidRDefault="008069C6" w14:paraId="6869E423"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4161F35F" w14:textId="62F5A7A1">
            <w:pPr>
              <w:rPr>
                <w:rFonts w:cs="Calibri"/>
                <w:kern w:val="0"/>
                <w:sz w:val="28"/>
                <w:szCs w:val="28"/>
              </w:rPr>
            </w:pPr>
            <w:r w:rsidRPr="002E111A">
              <w:rPr>
                <w:rFonts w:cs="Calibri"/>
                <w:kern w:val="0"/>
                <w:sz w:val="28"/>
                <w:szCs w:val="28"/>
              </w:rPr>
              <w:t>Criterion-Referenced Score Interpretation</w:t>
            </w:r>
          </w:p>
        </w:tc>
        <w:tc>
          <w:tcPr>
            <w:tcW w:w="5310" w:type="dxa"/>
            <w:shd w:val="clear" w:color="auto" w:fill="FFFFFF" w:themeFill="background1"/>
            <w:tcMar/>
          </w:tcPr>
          <w:p w:rsidRPr="002E111A" w:rsidR="008069C6" w:rsidP="008069C6" w:rsidRDefault="008069C6" w14:paraId="65C2697D" w14:textId="052CBD62">
            <w:pPr>
              <w:rPr>
                <w:rFonts w:cs="Calibri"/>
                <w:kern w:val="0"/>
                <w:sz w:val="28"/>
                <w:szCs w:val="28"/>
              </w:rPr>
            </w:pPr>
            <w:r w:rsidRPr="002E111A">
              <w:rPr>
                <w:rFonts w:cs="Calibri"/>
                <w:kern w:val="0"/>
                <w:sz w:val="28"/>
                <w:szCs w:val="28"/>
              </w:rPr>
              <w:t>Relating a test score to a pre-established, absolute standard of performance.</w:t>
            </w:r>
          </w:p>
        </w:tc>
      </w:tr>
      <w:tr w:rsidR="008069C6" w:rsidTr="59676F06" w14:paraId="57D92714" w14:textId="77777777">
        <w:tc>
          <w:tcPr>
            <w:tcW w:w="805" w:type="dxa"/>
            <w:tcMar/>
          </w:tcPr>
          <w:p w:rsidRPr="002E111A" w:rsidR="008069C6" w:rsidP="008069C6" w:rsidRDefault="008069C6" w14:paraId="1D2C5F08"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4A467DC3" w14:textId="0036C3D8">
            <w:pPr>
              <w:rPr>
                <w:rFonts w:cs="Calibri"/>
                <w:kern w:val="0"/>
                <w:sz w:val="28"/>
                <w:szCs w:val="28"/>
              </w:rPr>
            </w:pPr>
            <w:r w:rsidRPr="002E111A">
              <w:rPr>
                <w:sz w:val="28"/>
                <w:szCs w:val="28"/>
              </w:rPr>
              <w:t>Depth of Knowledge (Content Knowledge)</w:t>
            </w:r>
          </w:p>
        </w:tc>
        <w:tc>
          <w:tcPr>
            <w:tcW w:w="5310" w:type="dxa"/>
            <w:shd w:val="clear" w:color="auto" w:fill="FFFFFF" w:themeFill="background1"/>
            <w:tcMar/>
          </w:tcPr>
          <w:p w:rsidRPr="002E111A" w:rsidR="008069C6" w:rsidP="008069C6" w:rsidRDefault="008069C6" w14:paraId="0D53831A" w14:textId="5003E92B">
            <w:pPr>
              <w:rPr>
                <w:rFonts w:cs="Calibri"/>
                <w:kern w:val="0"/>
                <w:sz w:val="28"/>
                <w:szCs w:val="28"/>
              </w:rPr>
            </w:pPr>
            <w:r w:rsidRPr="002E111A">
              <w:rPr>
                <w:sz w:val="28"/>
                <w:szCs w:val="28"/>
              </w:rPr>
              <w:t xml:space="preserve">A framework that helps teachers and educators understand how deeply students need to know and understand content to answer questions or solve problems. It categorizes tasks by the </w:t>
            </w:r>
            <w:r w:rsidRPr="002E111A">
              <w:rPr>
                <w:sz w:val="28"/>
                <w:szCs w:val="28"/>
              </w:rPr>
              <w:lastRenderedPageBreak/>
              <w:t>complexity of thinking required to complete them, rather than their difficulty.</w:t>
            </w:r>
          </w:p>
        </w:tc>
      </w:tr>
      <w:tr w:rsidR="008069C6" w:rsidTr="59676F06" w14:paraId="7ECE7380" w14:textId="77777777">
        <w:tc>
          <w:tcPr>
            <w:tcW w:w="805" w:type="dxa"/>
            <w:tcMar/>
          </w:tcPr>
          <w:p w:rsidRPr="002E111A" w:rsidR="008069C6" w:rsidP="008069C6" w:rsidRDefault="008069C6" w14:paraId="6FD543BE"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6394B95F" w14:textId="6F7AB21E">
            <w:pPr>
              <w:rPr>
                <w:sz w:val="28"/>
                <w:szCs w:val="28"/>
              </w:rPr>
            </w:pPr>
            <w:r w:rsidRPr="002E111A">
              <w:rPr>
                <w:sz w:val="28"/>
                <w:szCs w:val="28"/>
              </w:rPr>
              <w:t>Grading</w:t>
            </w:r>
          </w:p>
        </w:tc>
        <w:tc>
          <w:tcPr>
            <w:tcW w:w="5310" w:type="dxa"/>
            <w:shd w:val="clear" w:color="auto" w:fill="FFFFFF" w:themeFill="background1"/>
            <w:tcMar/>
          </w:tcPr>
          <w:p w:rsidRPr="002E111A" w:rsidR="008069C6" w:rsidP="59676F06" w:rsidRDefault="008069C6" w14:paraId="3A71A6E4" w14:textId="36F75C60">
            <w:pPr>
              <w:pStyle w:val="Normal"/>
              <w:spacing w:before="0" w:beforeAutospacing="off" w:after="0" w:afterAutospacing="off"/>
              <w:rPr>
                <w:sz w:val="28"/>
                <w:szCs w:val="28"/>
              </w:rPr>
            </w:pPr>
            <w:r w:rsidRPr="59676F06" w:rsidR="008069C6">
              <w:rPr>
                <w:sz w:val="28"/>
                <w:szCs w:val="28"/>
              </w:rPr>
              <w:t>T</w:t>
            </w:r>
            <w:r w:rsidRPr="59676F06" w:rsidR="008069C6">
              <w:rPr>
                <w:rFonts w:ascii="Aptos Display" w:hAnsi="Aptos Display" w:eastAsia="Aptos Display" w:cs="Aptos Display" w:asciiTheme="majorAscii" w:hAnsiTheme="majorAscii" w:eastAsiaTheme="majorAscii" w:cstheme="majorAscii"/>
                <w:b w:val="0"/>
                <w:bCs w:val="0"/>
                <w:sz w:val="28"/>
                <w:szCs w:val="28"/>
              </w:rPr>
              <w:t>he act of classifying student performance on a scale of quality, rank, size, or progressio</w:t>
            </w:r>
            <w:r w:rsidRPr="59676F06" w:rsidR="008069C6">
              <w:rPr>
                <w:rFonts w:ascii="Aptos" w:hAnsi="Aptos" w:eastAsia="Aptos" w:cs="Aptos" w:asciiTheme="minorAscii" w:hAnsiTheme="minorAscii" w:eastAsiaTheme="minorAscii" w:cstheme="minorAscii"/>
                <w:b w:val="0"/>
                <w:bCs w:val="0"/>
                <w:sz w:val="28"/>
                <w:szCs w:val="28"/>
              </w:rPr>
              <w:t>n</w:t>
            </w:r>
            <w:r w:rsidRPr="59676F06" w:rsidR="15E3ADA3">
              <w:rPr>
                <w:rFonts w:ascii="Aptos" w:hAnsi="Aptos" w:eastAsia="Aptos" w:cs="Aptos" w:asciiTheme="minorAscii" w:hAnsiTheme="minorAscii" w:eastAsiaTheme="minorAscii" w:cstheme="minorAscii"/>
                <w:b w:val="0"/>
                <w:bCs w:val="0"/>
                <w:sz w:val="28"/>
                <w:szCs w:val="28"/>
              </w:rPr>
              <w:t xml:space="preserve">. </w:t>
            </w:r>
            <w:r w:rsidRPr="59676F06" w:rsidR="15E3ADA3">
              <w:rPr>
                <w:rFonts w:ascii="Aptos" w:hAnsi="Aptos" w:eastAsia="Aptos" w:cs="Aptos" w:asciiTheme="minorAscii" w:hAnsiTheme="minorAscii" w:eastAsiaTheme="minorAscii" w:cstheme="minorAscii"/>
                <w:b w:val="0"/>
                <w:bCs w:val="0"/>
                <w:noProof w:val="0"/>
                <w:color w:val="000000" w:themeColor="text1" w:themeTint="FF" w:themeShade="FF"/>
                <w:sz w:val="28"/>
                <w:szCs w:val="28"/>
                <w:lang w:val="en-US"/>
              </w:rPr>
              <w:t>Their primary purpose is to communicate each student’s level of achievement on the learning outcomes detailed in the standards</w:t>
            </w:r>
            <w:r w:rsidRPr="59676F06" w:rsidR="15E3ADA3">
              <w:rPr>
                <w:rFonts w:ascii="Aptos" w:hAnsi="Aptos" w:eastAsia="Aptos" w:cs="Aptos" w:asciiTheme="minorAscii" w:hAnsiTheme="minorAscii" w:eastAsiaTheme="minorAscii" w:cstheme="minorAscii"/>
                <w:b w:val="1"/>
                <w:bCs w:val="1"/>
                <w:noProof w:val="0"/>
                <w:color w:val="000000" w:themeColor="text1" w:themeTint="FF" w:themeShade="FF"/>
                <w:sz w:val="28"/>
                <w:szCs w:val="28"/>
                <w:lang w:val="en-US"/>
              </w:rPr>
              <w:t>.</w:t>
            </w:r>
          </w:p>
          <w:p w:rsidRPr="002E111A" w:rsidR="008069C6" w:rsidP="008069C6" w:rsidRDefault="008069C6" w14:paraId="5B985A56" w14:textId="1ACA8151">
            <w:pPr>
              <w:rPr>
                <w:sz w:val="28"/>
                <w:szCs w:val="28"/>
              </w:rPr>
            </w:pPr>
          </w:p>
        </w:tc>
      </w:tr>
      <w:tr w:rsidR="008069C6" w:rsidTr="59676F06" w14:paraId="301ADEEF" w14:textId="77777777">
        <w:tc>
          <w:tcPr>
            <w:tcW w:w="805" w:type="dxa"/>
            <w:tcMar/>
          </w:tcPr>
          <w:p w:rsidRPr="002E111A" w:rsidR="008069C6" w:rsidP="008069C6" w:rsidRDefault="008069C6" w14:paraId="10067E82"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64300A21" w14:textId="71330CA4">
            <w:pPr>
              <w:rPr>
                <w:sz w:val="28"/>
                <w:szCs w:val="28"/>
              </w:rPr>
            </w:pPr>
            <w:r w:rsidRPr="002E111A">
              <w:rPr>
                <w:sz w:val="28"/>
                <w:szCs w:val="28"/>
              </w:rPr>
              <w:t>Guaranteed Viable Curriculum</w:t>
            </w:r>
          </w:p>
        </w:tc>
        <w:tc>
          <w:tcPr>
            <w:tcW w:w="5310" w:type="dxa"/>
            <w:shd w:val="clear" w:color="auto" w:fill="FFFFFF" w:themeFill="background1"/>
            <w:tcMar/>
          </w:tcPr>
          <w:p w:rsidRPr="002E111A" w:rsidR="008069C6" w:rsidP="008069C6" w:rsidRDefault="008069C6" w14:paraId="22018A14" w14:textId="4E78DF85">
            <w:pPr>
              <w:rPr>
                <w:sz w:val="28"/>
                <w:szCs w:val="28"/>
              </w:rPr>
            </w:pPr>
            <w:r w:rsidRPr="002E111A">
              <w:rPr>
                <w:sz w:val="28"/>
                <w:szCs w:val="28"/>
              </w:rPr>
              <w:t>A working understanding of all the resources and materials (including assessments) needed to ensure all students have the same access to and opportunity to learn the same rigorous standards and skills in each grade level and course.</w:t>
            </w:r>
          </w:p>
        </w:tc>
      </w:tr>
      <w:tr w:rsidR="008069C6" w:rsidTr="59676F06" w14:paraId="5DBA7CCE" w14:textId="77777777">
        <w:tc>
          <w:tcPr>
            <w:tcW w:w="805" w:type="dxa"/>
            <w:tcMar/>
          </w:tcPr>
          <w:p w:rsidRPr="002E111A" w:rsidR="008069C6" w:rsidP="008069C6" w:rsidRDefault="008069C6" w14:paraId="5ECB9A50"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43EBC934" w14:textId="625447F7">
            <w:pPr>
              <w:rPr>
                <w:sz w:val="28"/>
                <w:szCs w:val="28"/>
              </w:rPr>
            </w:pPr>
            <w:r w:rsidRPr="002E111A">
              <w:rPr>
                <w:sz w:val="28"/>
                <w:szCs w:val="28"/>
              </w:rPr>
              <w:t>Interim/Benchmark</w:t>
            </w:r>
          </w:p>
        </w:tc>
        <w:tc>
          <w:tcPr>
            <w:tcW w:w="5310" w:type="dxa"/>
            <w:shd w:val="clear" w:color="auto" w:fill="FFFFFF" w:themeFill="background1"/>
            <w:tcMar/>
          </w:tcPr>
          <w:p w:rsidRPr="002E111A" w:rsidR="008069C6" w:rsidP="008069C6" w:rsidRDefault="008069C6" w14:paraId="47929713" w14:textId="5659A7BF">
            <w:pPr>
              <w:rPr>
                <w:sz w:val="28"/>
                <w:szCs w:val="28"/>
              </w:rPr>
            </w:pPr>
            <w:r w:rsidRPr="002E111A">
              <w:rPr>
                <w:rFonts w:cs="Calibri"/>
                <w:kern w:val="0"/>
                <w:sz w:val="28"/>
                <w:szCs w:val="28"/>
              </w:rPr>
              <w:t>Assessments are administered periodically throughout the school year for one or more of the following purposes: predictive (identify learner readiness for success on a later summative assessment); evaluative (to appraise ongoing educational programs); and/or instructional (to supply teachers with individual learner performance data).</w:t>
            </w:r>
          </w:p>
        </w:tc>
      </w:tr>
      <w:tr w:rsidR="001F0ECE" w:rsidTr="59676F06" w14:paraId="2B127993" w14:textId="77777777">
        <w:tc>
          <w:tcPr>
            <w:tcW w:w="805" w:type="dxa"/>
            <w:tcMar/>
          </w:tcPr>
          <w:p w:rsidRPr="002E111A" w:rsidR="001F0ECE" w:rsidP="00D639B7" w:rsidRDefault="001F0ECE" w14:paraId="0B3ABEEC"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67BB17E2" w14:textId="0EA2E6A9">
            <w:pPr>
              <w:rPr>
                <w:sz w:val="28"/>
                <w:szCs w:val="28"/>
              </w:rPr>
            </w:pPr>
            <w:r w:rsidRPr="002E111A">
              <w:rPr>
                <w:sz w:val="28"/>
                <w:szCs w:val="28"/>
              </w:rPr>
              <w:t>Learning Targets</w:t>
            </w:r>
          </w:p>
        </w:tc>
        <w:tc>
          <w:tcPr>
            <w:tcW w:w="5310" w:type="dxa"/>
            <w:shd w:val="clear" w:color="auto" w:fill="FFFFFF" w:themeFill="background1"/>
            <w:tcMar/>
          </w:tcPr>
          <w:p w:rsidRPr="002E111A" w:rsidR="001F0ECE" w:rsidP="005C404E" w:rsidRDefault="00CA0008" w14:paraId="0F903A1F" w14:textId="09FC524A">
            <w:pPr>
              <w:rPr>
                <w:sz w:val="28"/>
                <w:szCs w:val="28"/>
              </w:rPr>
            </w:pPr>
            <w:r w:rsidRPr="002E111A">
              <w:rPr>
                <w:sz w:val="28"/>
                <w:szCs w:val="28"/>
              </w:rPr>
              <w:t xml:space="preserve">Clear statements, ideally written in student-friendly language, that provide direction for students as to what learning should occur </w:t>
            </w:r>
            <w:r w:rsidRPr="002E111A" w:rsidR="002C72FF">
              <w:rPr>
                <w:sz w:val="28"/>
                <w:szCs w:val="28"/>
              </w:rPr>
              <w:t>because of</w:t>
            </w:r>
            <w:r w:rsidRPr="002E111A">
              <w:rPr>
                <w:sz w:val="28"/>
                <w:szCs w:val="28"/>
              </w:rPr>
              <w:t xml:space="preserve"> instruction and activities during a particular lesson.</w:t>
            </w:r>
          </w:p>
        </w:tc>
      </w:tr>
      <w:tr w:rsidR="008069C6" w:rsidTr="59676F06" w14:paraId="1B0A78DD" w14:textId="77777777">
        <w:tc>
          <w:tcPr>
            <w:tcW w:w="805" w:type="dxa"/>
            <w:tcMar/>
          </w:tcPr>
          <w:p w:rsidRPr="002E111A" w:rsidR="008069C6" w:rsidP="008069C6" w:rsidRDefault="008069C6" w14:paraId="6D4C59DB"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252013A8" w14:textId="08E06B5D">
            <w:pPr>
              <w:rPr>
                <w:sz w:val="28"/>
                <w:szCs w:val="28"/>
              </w:rPr>
            </w:pPr>
            <w:r w:rsidRPr="002E111A">
              <w:rPr>
                <w:sz w:val="28"/>
                <w:szCs w:val="28"/>
              </w:rPr>
              <w:t>Multiple Measures</w:t>
            </w:r>
          </w:p>
        </w:tc>
        <w:tc>
          <w:tcPr>
            <w:tcW w:w="5310" w:type="dxa"/>
            <w:shd w:val="clear" w:color="auto" w:fill="FFFFFF" w:themeFill="background1"/>
            <w:tcMar/>
          </w:tcPr>
          <w:p w:rsidRPr="002E111A" w:rsidR="008069C6" w:rsidP="008069C6" w:rsidRDefault="008069C6" w14:paraId="5A9ED97D" w14:textId="24837F57">
            <w:pPr>
              <w:rPr>
                <w:sz w:val="28"/>
                <w:szCs w:val="28"/>
              </w:rPr>
            </w:pPr>
            <w:r w:rsidRPr="002E111A">
              <w:rPr>
                <w:sz w:val="28"/>
                <w:szCs w:val="28"/>
              </w:rPr>
              <w:t>The use of multiple indicators to measure student learning. This data is collected at multiple points in time and is examined within and across subject areas.</w:t>
            </w:r>
          </w:p>
        </w:tc>
      </w:tr>
      <w:tr w:rsidR="008069C6" w:rsidTr="59676F06" w14:paraId="5B0931E6" w14:textId="77777777">
        <w:tc>
          <w:tcPr>
            <w:tcW w:w="805" w:type="dxa"/>
            <w:tcMar/>
          </w:tcPr>
          <w:p w:rsidRPr="002E111A" w:rsidR="008069C6" w:rsidP="008069C6" w:rsidRDefault="008069C6" w14:paraId="0879CD03"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43BA8FAE" w14:textId="028EA2E1">
            <w:pPr>
              <w:rPr>
                <w:sz w:val="28"/>
                <w:szCs w:val="28"/>
              </w:rPr>
            </w:pPr>
            <w:r w:rsidRPr="002E111A">
              <w:rPr>
                <w:rFonts w:cs="Calibri"/>
                <w:kern w:val="0"/>
                <w:sz w:val="28"/>
                <w:szCs w:val="28"/>
              </w:rPr>
              <w:t>Norm-Referenced Score Interpretation</w:t>
            </w:r>
          </w:p>
        </w:tc>
        <w:tc>
          <w:tcPr>
            <w:tcW w:w="5310" w:type="dxa"/>
            <w:shd w:val="clear" w:color="auto" w:fill="FFFFFF" w:themeFill="background1"/>
            <w:tcMar/>
          </w:tcPr>
          <w:p w:rsidRPr="002E111A" w:rsidR="008069C6" w:rsidP="008069C6" w:rsidRDefault="008069C6" w14:paraId="6726EAC3" w14:textId="350B3F4C">
            <w:pPr>
              <w:rPr>
                <w:sz w:val="28"/>
                <w:szCs w:val="28"/>
              </w:rPr>
            </w:pPr>
            <w:r w:rsidRPr="002E111A">
              <w:rPr>
                <w:rFonts w:cs="Calibri"/>
                <w:kern w:val="0"/>
                <w:sz w:val="28"/>
                <w:szCs w:val="28"/>
              </w:rPr>
              <w:t>The comparison of a student or school score to a representative sample of students or schools—the norm group. Scores are interpreted as above or below the average (mean score) of the norm group, such as a percentile rank.</w:t>
            </w:r>
          </w:p>
        </w:tc>
      </w:tr>
      <w:tr w:rsidR="008069C6" w:rsidTr="59676F06" w14:paraId="4184B345" w14:textId="77777777">
        <w:tc>
          <w:tcPr>
            <w:tcW w:w="805" w:type="dxa"/>
            <w:tcMar/>
          </w:tcPr>
          <w:p w:rsidRPr="002E111A" w:rsidR="008069C6" w:rsidP="008069C6" w:rsidRDefault="008069C6" w14:paraId="148F77E3" w14:textId="77777777">
            <w:pPr>
              <w:pStyle w:val="ListParagraph"/>
              <w:numPr>
                <w:ilvl w:val="0"/>
                <w:numId w:val="2"/>
              </w:numPr>
              <w:rPr>
                <w:sz w:val="28"/>
                <w:szCs w:val="28"/>
              </w:rPr>
            </w:pPr>
          </w:p>
        </w:tc>
        <w:tc>
          <w:tcPr>
            <w:tcW w:w="3870" w:type="dxa"/>
            <w:shd w:val="clear" w:color="auto" w:fill="FFFFFF" w:themeFill="background1"/>
            <w:tcMar/>
          </w:tcPr>
          <w:p w:rsidRPr="002E111A" w:rsidR="008069C6" w:rsidP="008069C6" w:rsidRDefault="008069C6" w14:paraId="5EF6F590" w14:textId="763BC45A">
            <w:pPr>
              <w:rPr>
                <w:rFonts w:cs="Calibri"/>
                <w:kern w:val="0"/>
                <w:sz w:val="28"/>
                <w:szCs w:val="28"/>
              </w:rPr>
            </w:pPr>
            <w:r w:rsidRPr="002E111A">
              <w:rPr>
                <w:sz w:val="28"/>
                <w:szCs w:val="28"/>
              </w:rPr>
              <w:t>Performance Assessment</w:t>
            </w:r>
          </w:p>
        </w:tc>
        <w:tc>
          <w:tcPr>
            <w:tcW w:w="5310" w:type="dxa"/>
            <w:shd w:val="clear" w:color="auto" w:fill="FFFFFF" w:themeFill="background1"/>
            <w:tcMar/>
          </w:tcPr>
          <w:p w:rsidRPr="002E111A" w:rsidR="008069C6" w:rsidP="008069C6" w:rsidRDefault="008069C6" w14:paraId="433774B2" w14:textId="6DE8B551">
            <w:pPr>
              <w:rPr>
                <w:rFonts w:cs="Calibri"/>
                <w:kern w:val="0"/>
                <w:sz w:val="28"/>
                <w:szCs w:val="28"/>
              </w:rPr>
            </w:pPr>
            <w:r w:rsidRPr="002E111A">
              <w:rPr>
                <w:rFonts w:cs="Calibri"/>
                <w:kern w:val="0"/>
                <w:sz w:val="28"/>
                <w:szCs w:val="28"/>
              </w:rPr>
              <w:t>Assessments where students are asked to perform in some manner (e.g., completing an experiment, investigating, singing, acting in a theatrical production, or completing a painting). Performance assessments require a checklist or a rubric for scoring</w:t>
            </w:r>
          </w:p>
        </w:tc>
      </w:tr>
      <w:tr w:rsidR="00514E37" w:rsidTr="59676F06" w14:paraId="3A32DB66" w14:textId="77777777">
        <w:tc>
          <w:tcPr>
            <w:tcW w:w="805" w:type="dxa"/>
            <w:tcMar/>
          </w:tcPr>
          <w:p w:rsidRPr="002E111A" w:rsidR="00514E37" w:rsidP="00514E37" w:rsidRDefault="00514E37" w14:paraId="4C0B0EA4" w14:textId="77777777">
            <w:pPr>
              <w:pStyle w:val="ListParagraph"/>
              <w:numPr>
                <w:ilvl w:val="0"/>
                <w:numId w:val="2"/>
              </w:numPr>
              <w:rPr>
                <w:sz w:val="28"/>
                <w:szCs w:val="28"/>
              </w:rPr>
            </w:pPr>
          </w:p>
        </w:tc>
        <w:tc>
          <w:tcPr>
            <w:tcW w:w="3870" w:type="dxa"/>
            <w:shd w:val="clear" w:color="auto" w:fill="FFFFFF" w:themeFill="background1"/>
            <w:tcMar/>
          </w:tcPr>
          <w:p w:rsidRPr="002E111A" w:rsidR="00514E37" w:rsidP="00514E37" w:rsidRDefault="00514E37" w14:paraId="5F3D98FF" w14:textId="2B37F8FE">
            <w:pPr>
              <w:rPr>
                <w:sz w:val="28"/>
                <w:szCs w:val="28"/>
              </w:rPr>
            </w:pPr>
            <w:r w:rsidRPr="002E111A">
              <w:rPr>
                <w:rFonts w:cs="Calibri"/>
                <w:sz w:val="28"/>
                <w:szCs w:val="28"/>
              </w:rPr>
              <w:t>Reliability</w:t>
            </w:r>
          </w:p>
        </w:tc>
        <w:tc>
          <w:tcPr>
            <w:tcW w:w="5310" w:type="dxa"/>
            <w:shd w:val="clear" w:color="auto" w:fill="FFFFFF" w:themeFill="background1"/>
            <w:tcMar/>
          </w:tcPr>
          <w:p w:rsidRPr="002E111A" w:rsidR="00514E37" w:rsidP="00514E37" w:rsidRDefault="00514E37" w14:paraId="59234C4C" w14:textId="1D57DF59">
            <w:pPr>
              <w:rPr>
                <w:rFonts w:cs="Calibri"/>
                <w:kern w:val="0"/>
                <w:sz w:val="28"/>
                <w:szCs w:val="28"/>
              </w:rPr>
            </w:pPr>
            <w:r w:rsidRPr="002E111A">
              <w:rPr>
                <w:rFonts w:cs="Calibri"/>
                <w:kern w:val="0"/>
                <w:sz w:val="28"/>
                <w:szCs w:val="28"/>
              </w:rPr>
              <w:t>A statistical determination of the internal consistency, comparability, or stability of an assessment. A necessary, but not sufficient, condition for a summative assessment to be useful.</w:t>
            </w:r>
          </w:p>
        </w:tc>
      </w:tr>
      <w:tr w:rsidR="00514E37" w:rsidTr="59676F06" w14:paraId="4439B511" w14:textId="77777777">
        <w:tc>
          <w:tcPr>
            <w:tcW w:w="805" w:type="dxa"/>
            <w:tcMar/>
          </w:tcPr>
          <w:p w:rsidRPr="002E111A" w:rsidR="00514E37" w:rsidP="00514E37" w:rsidRDefault="00514E37" w14:paraId="1BFDB4E0" w14:textId="77777777">
            <w:pPr>
              <w:pStyle w:val="ListParagraph"/>
              <w:numPr>
                <w:ilvl w:val="0"/>
                <w:numId w:val="2"/>
              </w:numPr>
              <w:rPr>
                <w:sz w:val="28"/>
                <w:szCs w:val="28"/>
              </w:rPr>
            </w:pPr>
          </w:p>
        </w:tc>
        <w:tc>
          <w:tcPr>
            <w:tcW w:w="3870" w:type="dxa"/>
            <w:shd w:val="clear" w:color="auto" w:fill="FFFFFF" w:themeFill="background1"/>
            <w:tcMar/>
          </w:tcPr>
          <w:p w:rsidRPr="002E111A" w:rsidR="00514E37" w:rsidP="00514E37" w:rsidRDefault="00514E37" w14:paraId="6F10B1D7" w14:textId="58DAD1CC">
            <w:pPr>
              <w:rPr>
                <w:sz w:val="28"/>
                <w:szCs w:val="28"/>
              </w:rPr>
            </w:pPr>
            <w:r w:rsidRPr="002E111A">
              <w:rPr>
                <w:rFonts w:cs="Calibri"/>
                <w:sz w:val="28"/>
                <w:szCs w:val="28"/>
              </w:rPr>
              <w:t>Screener</w:t>
            </w:r>
          </w:p>
        </w:tc>
        <w:tc>
          <w:tcPr>
            <w:tcW w:w="5310" w:type="dxa"/>
            <w:shd w:val="clear" w:color="auto" w:fill="FFFFFF" w:themeFill="background1"/>
            <w:tcMar/>
          </w:tcPr>
          <w:p w:rsidRPr="002E111A" w:rsidR="00514E37" w:rsidP="00514E37" w:rsidRDefault="00514E37" w14:paraId="6E837558" w14:textId="5DAF5C3E">
            <w:pPr>
              <w:rPr>
                <w:rFonts w:cs="Calibri"/>
                <w:kern w:val="0"/>
                <w:sz w:val="28"/>
                <w:szCs w:val="28"/>
              </w:rPr>
            </w:pPr>
            <w:r w:rsidRPr="002E111A">
              <w:rPr>
                <w:rFonts w:cs="Calibri"/>
                <w:kern w:val="0"/>
                <w:sz w:val="28"/>
                <w:szCs w:val="28"/>
              </w:rPr>
              <w:t>A relatively short test used to determine eligibility of an individual for a program or activity.</w:t>
            </w:r>
          </w:p>
        </w:tc>
      </w:tr>
      <w:tr w:rsidR="00514E37" w:rsidTr="59676F06" w14:paraId="1B709301" w14:textId="77777777">
        <w:tc>
          <w:tcPr>
            <w:tcW w:w="805" w:type="dxa"/>
            <w:tcMar/>
          </w:tcPr>
          <w:p w:rsidRPr="002E111A" w:rsidR="00514E37" w:rsidP="00514E37" w:rsidRDefault="00514E37" w14:paraId="413476D4" w14:textId="77777777">
            <w:pPr>
              <w:pStyle w:val="ListParagraph"/>
              <w:numPr>
                <w:ilvl w:val="0"/>
                <w:numId w:val="2"/>
              </w:numPr>
              <w:rPr>
                <w:sz w:val="28"/>
                <w:szCs w:val="28"/>
              </w:rPr>
            </w:pPr>
          </w:p>
        </w:tc>
        <w:tc>
          <w:tcPr>
            <w:tcW w:w="3870" w:type="dxa"/>
            <w:shd w:val="clear" w:color="auto" w:fill="FFFFFF" w:themeFill="background1"/>
            <w:tcMar/>
          </w:tcPr>
          <w:p w:rsidRPr="002E111A" w:rsidR="00514E37" w:rsidP="00514E37" w:rsidRDefault="00514E37" w14:paraId="14BF6CF9" w14:textId="4FB1FE71">
            <w:pPr>
              <w:rPr>
                <w:sz w:val="28"/>
                <w:szCs w:val="28"/>
              </w:rPr>
            </w:pPr>
            <w:r w:rsidRPr="002E111A">
              <w:rPr>
                <w:sz w:val="28"/>
                <w:szCs w:val="28"/>
              </w:rPr>
              <w:t>Scoring Rubrics</w:t>
            </w:r>
          </w:p>
        </w:tc>
        <w:tc>
          <w:tcPr>
            <w:tcW w:w="5310" w:type="dxa"/>
            <w:shd w:val="clear" w:color="auto" w:fill="FFFFFF" w:themeFill="background1"/>
            <w:tcMar/>
          </w:tcPr>
          <w:p w:rsidRPr="002E111A" w:rsidR="00514E37" w:rsidP="00514E37" w:rsidRDefault="00514E37" w14:paraId="0EC44AA7" w14:textId="7A7B1375">
            <w:pPr>
              <w:rPr>
                <w:rFonts w:cs="Calibri"/>
                <w:kern w:val="0"/>
                <w:sz w:val="28"/>
                <w:szCs w:val="28"/>
              </w:rPr>
            </w:pPr>
            <w:r w:rsidRPr="002E111A">
              <w:rPr>
                <w:rFonts w:cs="Calibri"/>
                <w:kern w:val="0"/>
                <w:sz w:val="28"/>
                <w:szCs w:val="28"/>
              </w:rPr>
              <w:t>Often used to score constructed response items, performance tasks, and performance events. A rubric establishes the expectations for performance and delineates what a response must include. Performance levels are described for each dimension or criterion of the performance task. performance event, or constructed response item.</w:t>
            </w:r>
          </w:p>
        </w:tc>
      </w:tr>
      <w:tr w:rsidR="001F0ECE" w:rsidTr="59676F06" w14:paraId="41D8F0EE" w14:textId="77777777">
        <w:tc>
          <w:tcPr>
            <w:tcW w:w="805" w:type="dxa"/>
            <w:tcMar/>
          </w:tcPr>
          <w:p w:rsidRPr="002E111A" w:rsidR="001F0ECE" w:rsidP="00D639B7" w:rsidRDefault="001F0ECE" w14:paraId="7ECECCB9" w14:textId="77777777">
            <w:pPr>
              <w:pStyle w:val="ListParagraph"/>
              <w:numPr>
                <w:ilvl w:val="0"/>
                <w:numId w:val="2"/>
              </w:numPr>
              <w:rPr>
                <w:sz w:val="28"/>
                <w:szCs w:val="28"/>
              </w:rPr>
            </w:pPr>
          </w:p>
        </w:tc>
        <w:tc>
          <w:tcPr>
            <w:tcW w:w="3870" w:type="dxa"/>
            <w:shd w:val="clear" w:color="auto" w:fill="FFFFFF" w:themeFill="background1"/>
            <w:tcMar/>
          </w:tcPr>
          <w:p w:rsidRPr="002E111A" w:rsidR="001F0ECE" w:rsidP="00D639B7" w:rsidRDefault="001F0ECE" w14:paraId="5E90CA9E" w14:textId="1A779AB8">
            <w:pPr>
              <w:rPr>
                <w:sz w:val="28"/>
                <w:szCs w:val="28"/>
              </w:rPr>
            </w:pPr>
            <w:r w:rsidRPr="002E111A">
              <w:rPr>
                <w:sz w:val="28"/>
                <w:szCs w:val="28"/>
              </w:rPr>
              <w:t>Success Criteria</w:t>
            </w:r>
          </w:p>
        </w:tc>
        <w:tc>
          <w:tcPr>
            <w:tcW w:w="5310" w:type="dxa"/>
            <w:shd w:val="clear" w:color="auto" w:fill="FFFFFF" w:themeFill="background1"/>
            <w:tcMar/>
          </w:tcPr>
          <w:p w:rsidRPr="002E111A" w:rsidR="001F0ECE" w:rsidP="005C404E" w:rsidRDefault="00F92800" w14:paraId="73BA0183" w14:textId="366D971E">
            <w:pPr>
              <w:rPr>
                <w:strike/>
                <w:sz w:val="28"/>
                <w:szCs w:val="28"/>
              </w:rPr>
            </w:pPr>
            <w:r w:rsidRPr="002E111A">
              <w:rPr>
                <w:rFonts w:cs="Calibri"/>
                <w:kern w:val="0"/>
                <w:sz w:val="28"/>
                <w:szCs w:val="28"/>
              </w:rPr>
              <w:t>Lists, statements, models, or exemplars that tell or show students what they should know, understand, and be able to do at the end of instruction. These criteria identify elements of quality that should be present in student work</w:t>
            </w:r>
          </w:p>
        </w:tc>
      </w:tr>
      <w:tr w:rsidR="00514E37" w:rsidTr="59676F06" w14:paraId="482B0E40" w14:textId="77777777">
        <w:tc>
          <w:tcPr>
            <w:tcW w:w="805" w:type="dxa"/>
            <w:tcMar/>
          </w:tcPr>
          <w:p w:rsidRPr="002E111A" w:rsidR="00514E37" w:rsidP="00514E37" w:rsidRDefault="00514E37" w14:paraId="417465DD" w14:textId="77777777">
            <w:pPr>
              <w:pStyle w:val="ListParagraph"/>
              <w:numPr>
                <w:ilvl w:val="0"/>
                <w:numId w:val="2"/>
              </w:numPr>
              <w:rPr>
                <w:sz w:val="28"/>
                <w:szCs w:val="28"/>
              </w:rPr>
            </w:pPr>
          </w:p>
        </w:tc>
        <w:tc>
          <w:tcPr>
            <w:tcW w:w="3870" w:type="dxa"/>
            <w:shd w:val="clear" w:color="auto" w:fill="FFFFFF" w:themeFill="background1"/>
            <w:tcMar/>
          </w:tcPr>
          <w:p w:rsidRPr="002E111A" w:rsidR="00514E37" w:rsidP="00514E37" w:rsidRDefault="00514E37" w14:paraId="2974AF1F" w14:textId="255B1F71">
            <w:pPr>
              <w:rPr>
                <w:strike/>
                <w:sz w:val="28"/>
                <w:szCs w:val="28"/>
              </w:rPr>
            </w:pPr>
            <w:r w:rsidRPr="002E111A">
              <w:rPr>
                <w:sz w:val="28"/>
                <w:szCs w:val="28"/>
              </w:rPr>
              <w:t>Test</w:t>
            </w:r>
          </w:p>
        </w:tc>
        <w:tc>
          <w:tcPr>
            <w:tcW w:w="5310" w:type="dxa"/>
            <w:shd w:val="clear" w:color="auto" w:fill="FFFFFF" w:themeFill="background1"/>
            <w:tcMar/>
          </w:tcPr>
          <w:p w:rsidRPr="002E111A" w:rsidR="00514E37" w:rsidP="00514E37" w:rsidRDefault="00514E37" w14:paraId="7C6EF7F3" w14:textId="33D2097E">
            <w:pPr>
              <w:rPr>
                <w:strike/>
                <w:sz w:val="28"/>
                <w:szCs w:val="28"/>
              </w:rPr>
            </w:pPr>
            <w:r w:rsidRPr="002E111A">
              <w:rPr>
                <w:sz w:val="28"/>
                <w:szCs w:val="28"/>
              </w:rPr>
              <w:t>A type of assessment, usually more formal in nature, that is used to determine student understanding at the end of a learning opportunity or time frame.  All tests are assessments; but not all assessments are tests.</w:t>
            </w:r>
          </w:p>
        </w:tc>
      </w:tr>
      <w:tr w:rsidR="00F92800" w:rsidTr="59676F06" w14:paraId="5909E8EE" w14:textId="77777777">
        <w:tc>
          <w:tcPr>
            <w:tcW w:w="805" w:type="dxa"/>
            <w:tcMar/>
          </w:tcPr>
          <w:p w:rsidRPr="002E111A" w:rsidR="00F92800" w:rsidP="00F92800" w:rsidRDefault="00F92800" w14:paraId="36CE9986" w14:textId="77777777">
            <w:pPr>
              <w:pStyle w:val="ListParagraph"/>
              <w:numPr>
                <w:ilvl w:val="0"/>
                <w:numId w:val="2"/>
              </w:numPr>
              <w:rPr>
                <w:sz w:val="28"/>
                <w:szCs w:val="28"/>
              </w:rPr>
            </w:pPr>
          </w:p>
        </w:tc>
        <w:tc>
          <w:tcPr>
            <w:tcW w:w="3870" w:type="dxa"/>
            <w:shd w:val="clear" w:color="auto" w:fill="FFFFFF" w:themeFill="background1"/>
            <w:tcMar/>
          </w:tcPr>
          <w:p w:rsidRPr="002E111A" w:rsidR="00F92800" w:rsidP="00F92800" w:rsidRDefault="00F92800" w14:paraId="2EE46F37" w14:textId="529FBE97">
            <w:pPr>
              <w:rPr>
                <w:sz w:val="28"/>
                <w:szCs w:val="28"/>
              </w:rPr>
            </w:pPr>
            <w:r w:rsidRPr="002E111A">
              <w:rPr>
                <w:rFonts w:cs="Calibri"/>
                <w:sz w:val="28"/>
                <w:szCs w:val="28"/>
              </w:rPr>
              <w:t>Validity</w:t>
            </w:r>
          </w:p>
        </w:tc>
        <w:tc>
          <w:tcPr>
            <w:tcW w:w="5310" w:type="dxa"/>
            <w:shd w:val="clear" w:color="auto" w:fill="FFFFFF" w:themeFill="background1"/>
            <w:tcMar/>
          </w:tcPr>
          <w:p w:rsidRPr="002E111A" w:rsidR="00F92800" w:rsidP="005C404E" w:rsidRDefault="00F92800" w14:paraId="36C1280E" w14:textId="77777777">
            <w:pPr>
              <w:autoSpaceDE w:val="0"/>
              <w:autoSpaceDN w:val="0"/>
              <w:adjustRightInd w:val="0"/>
              <w:rPr>
                <w:rFonts w:cs="Calibri"/>
                <w:kern w:val="0"/>
                <w:sz w:val="28"/>
                <w:szCs w:val="28"/>
              </w:rPr>
            </w:pPr>
            <w:r w:rsidRPr="002E111A">
              <w:rPr>
                <w:rFonts w:cs="Calibri"/>
                <w:kern w:val="0"/>
                <w:sz w:val="28"/>
                <w:szCs w:val="28"/>
              </w:rPr>
              <w:t>The extent to which a test measures what it is intended to measure. A</w:t>
            </w:r>
          </w:p>
          <w:p w:rsidRPr="002E111A" w:rsidR="00F92800" w:rsidP="005C404E" w:rsidRDefault="00F92800" w14:paraId="0C8B5A0A" w14:textId="2B2A680B">
            <w:pPr>
              <w:rPr>
                <w:sz w:val="28"/>
                <w:szCs w:val="28"/>
              </w:rPr>
            </w:pPr>
            <w:r w:rsidRPr="002E111A">
              <w:rPr>
                <w:rFonts w:cs="Calibri"/>
                <w:kern w:val="0"/>
                <w:sz w:val="28"/>
                <w:szCs w:val="28"/>
              </w:rPr>
              <w:t>test itself is neither “valid” nor “invalid.” Validity is determined based on the adequacy of the information in support of the intended use of the assessment.</w:t>
            </w:r>
          </w:p>
        </w:tc>
      </w:tr>
    </w:tbl>
    <w:p w:rsidR="0015098A" w:rsidRDefault="0015098A" w14:paraId="0550AB49" w14:textId="77777777"/>
    <w:p w:rsidR="0015098A" w:rsidRDefault="0015098A" w14:paraId="5ABE7830" w14:textId="77777777"/>
    <w:sectPr w:rsidR="0015098A" w:rsidSect="00D639B7">
      <w:pgSz w:w="12240" w:h="15840" w:orient="portrait"/>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9F4"/>
    <w:multiLevelType w:val="hybridMultilevel"/>
    <w:tmpl w:val="1292CA8A"/>
    <w:lvl w:ilvl="0" w:tplc="A1861544">
      <w:start w:val="1"/>
      <w:numFmt w:val="bullet"/>
      <w:lvlText w:val=""/>
      <w:lvlJc w:val="left"/>
      <w:pPr>
        <w:tabs>
          <w:tab w:val="num" w:pos="720"/>
        </w:tabs>
        <w:ind w:left="720" w:hanging="360"/>
      </w:pPr>
      <w:rPr>
        <w:rFonts w:hint="default" w:ascii="Wingdings" w:hAnsi="Wingdings"/>
      </w:rPr>
    </w:lvl>
    <w:lvl w:ilvl="1" w:tplc="408830E4" w:tentative="1">
      <w:start w:val="1"/>
      <w:numFmt w:val="bullet"/>
      <w:lvlText w:val=""/>
      <w:lvlJc w:val="left"/>
      <w:pPr>
        <w:tabs>
          <w:tab w:val="num" w:pos="1440"/>
        </w:tabs>
        <w:ind w:left="1440" w:hanging="360"/>
      </w:pPr>
      <w:rPr>
        <w:rFonts w:hint="default" w:ascii="Wingdings" w:hAnsi="Wingdings"/>
      </w:rPr>
    </w:lvl>
    <w:lvl w:ilvl="2" w:tplc="1F92923E" w:tentative="1">
      <w:start w:val="1"/>
      <w:numFmt w:val="bullet"/>
      <w:lvlText w:val=""/>
      <w:lvlJc w:val="left"/>
      <w:pPr>
        <w:tabs>
          <w:tab w:val="num" w:pos="2160"/>
        </w:tabs>
        <w:ind w:left="2160" w:hanging="360"/>
      </w:pPr>
      <w:rPr>
        <w:rFonts w:hint="default" w:ascii="Wingdings" w:hAnsi="Wingdings"/>
      </w:rPr>
    </w:lvl>
    <w:lvl w:ilvl="3" w:tplc="DF8A3A1C" w:tentative="1">
      <w:start w:val="1"/>
      <w:numFmt w:val="bullet"/>
      <w:lvlText w:val=""/>
      <w:lvlJc w:val="left"/>
      <w:pPr>
        <w:tabs>
          <w:tab w:val="num" w:pos="2880"/>
        </w:tabs>
        <w:ind w:left="2880" w:hanging="360"/>
      </w:pPr>
      <w:rPr>
        <w:rFonts w:hint="default" w:ascii="Wingdings" w:hAnsi="Wingdings"/>
      </w:rPr>
    </w:lvl>
    <w:lvl w:ilvl="4" w:tplc="8FC88342" w:tentative="1">
      <w:start w:val="1"/>
      <w:numFmt w:val="bullet"/>
      <w:lvlText w:val=""/>
      <w:lvlJc w:val="left"/>
      <w:pPr>
        <w:tabs>
          <w:tab w:val="num" w:pos="3600"/>
        </w:tabs>
        <w:ind w:left="3600" w:hanging="360"/>
      </w:pPr>
      <w:rPr>
        <w:rFonts w:hint="default" w:ascii="Wingdings" w:hAnsi="Wingdings"/>
      </w:rPr>
    </w:lvl>
    <w:lvl w:ilvl="5" w:tplc="EAF2F032" w:tentative="1">
      <w:start w:val="1"/>
      <w:numFmt w:val="bullet"/>
      <w:lvlText w:val=""/>
      <w:lvlJc w:val="left"/>
      <w:pPr>
        <w:tabs>
          <w:tab w:val="num" w:pos="4320"/>
        </w:tabs>
        <w:ind w:left="4320" w:hanging="360"/>
      </w:pPr>
      <w:rPr>
        <w:rFonts w:hint="default" w:ascii="Wingdings" w:hAnsi="Wingdings"/>
      </w:rPr>
    </w:lvl>
    <w:lvl w:ilvl="6" w:tplc="4826338C" w:tentative="1">
      <w:start w:val="1"/>
      <w:numFmt w:val="bullet"/>
      <w:lvlText w:val=""/>
      <w:lvlJc w:val="left"/>
      <w:pPr>
        <w:tabs>
          <w:tab w:val="num" w:pos="5040"/>
        </w:tabs>
        <w:ind w:left="5040" w:hanging="360"/>
      </w:pPr>
      <w:rPr>
        <w:rFonts w:hint="default" w:ascii="Wingdings" w:hAnsi="Wingdings"/>
      </w:rPr>
    </w:lvl>
    <w:lvl w:ilvl="7" w:tplc="DB563474" w:tentative="1">
      <w:start w:val="1"/>
      <w:numFmt w:val="bullet"/>
      <w:lvlText w:val=""/>
      <w:lvlJc w:val="left"/>
      <w:pPr>
        <w:tabs>
          <w:tab w:val="num" w:pos="5760"/>
        </w:tabs>
        <w:ind w:left="5760" w:hanging="360"/>
      </w:pPr>
      <w:rPr>
        <w:rFonts w:hint="default" w:ascii="Wingdings" w:hAnsi="Wingdings"/>
      </w:rPr>
    </w:lvl>
    <w:lvl w:ilvl="8" w:tplc="B804F5AE"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25F78C7"/>
    <w:multiLevelType w:val="hybridMultilevel"/>
    <w:tmpl w:val="6E3A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41927"/>
    <w:multiLevelType w:val="hybridMultilevel"/>
    <w:tmpl w:val="6A76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6C7C"/>
    <w:multiLevelType w:val="hybridMultilevel"/>
    <w:tmpl w:val="2BF48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509908">
    <w:abstractNumId w:val="2"/>
  </w:num>
  <w:num w:numId="2" w16cid:durableId="852840252">
    <w:abstractNumId w:val="3"/>
  </w:num>
  <w:num w:numId="3" w16cid:durableId="619844064">
    <w:abstractNumId w:val="1"/>
  </w:num>
  <w:num w:numId="4" w16cid:durableId="15984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8A"/>
    <w:rsid w:val="00002CB7"/>
    <w:rsid w:val="000364FC"/>
    <w:rsid w:val="00124D40"/>
    <w:rsid w:val="0015098A"/>
    <w:rsid w:val="001F0ECE"/>
    <w:rsid w:val="0022598A"/>
    <w:rsid w:val="00234F2E"/>
    <w:rsid w:val="00250EA8"/>
    <w:rsid w:val="002C72FF"/>
    <w:rsid w:val="002D240D"/>
    <w:rsid w:val="002E111A"/>
    <w:rsid w:val="002F79BF"/>
    <w:rsid w:val="0047272F"/>
    <w:rsid w:val="00514E37"/>
    <w:rsid w:val="005C404E"/>
    <w:rsid w:val="008069C6"/>
    <w:rsid w:val="009935D6"/>
    <w:rsid w:val="00AD5CE1"/>
    <w:rsid w:val="00C15F3E"/>
    <w:rsid w:val="00CA0008"/>
    <w:rsid w:val="00CE3F50"/>
    <w:rsid w:val="00D25EEB"/>
    <w:rsid w:val="00D56C57"/>
    <w:rsid w:val="00D639B7"/>
    <w:rsid w:val="00D64DA4"/>
    <w:rsid w:val="00E60A3B"/>
    <w:rsid w:val="00F92800"/>
    <w:rsid w:val="15E3ADA3"/>
    <w:rsid w:val="5967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0B6A"/>
  <w15:chartTrackingRefBased/>
  <w15:docId w15:val="{8F5859D4-A1C8-4BFE-82F2-D6BB745F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098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98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98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098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5098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5098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5098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5098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5098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5098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5098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5098A"/>
    <w:rPr>
      <w:rFonts w:eastAsiaTheme="majorEastAsia" w:cstheme="majorBidi"/>
      <w:color w:val="272727" w:themeColor="text1" w:themeTint="D8"/>
    </w:rPr>
  </w:style>
  <w:style w:type="paragraph" w:styleId="Title">
    <w:name w:val="Title"/>
    <w:basedOn w:val="Normal"/>
    <w:next w:val="Normal"/>
    <w:link w:val="TitleChar"/>
    <w:uiPriority w:val="10"/>
    <w:qFormat/>
    <w:rsid w:val="0015098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098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5098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50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98A"/>
    <w:pPr>
      <w:spacing w:before="160"/>
      <w:jc w:val="center"/>
    </w:pPr>
    <w:rPr>
      <w:i/>
      <w:iCs/>
      <w:color w:val="404040" w:themeColor="text1" w:themeTint="BF"/>
    </w:rPr>
  </w:style>
  <w:style w:type="character" w:styleId="QuoteChar" w:customStyle="1">
    <w:name w:val="Quote Char"/>
    <w:basedOn w:val="DefaultParagraphFont"/>
    <w:link w:val="Quote"/>
    <w:uiPriority w:val="29"/>
    <w:rsid w:val="0015098A"/>
    <w:rPr>
      <w:i/>
      <w:iCs/>
      <w:color w:val="404040" w:themeColor="text1" w:themeTint="BF"/>
    </w:rPr>
  </w:style>
  <w:style w:type="paragraph" w:styleId="ListParagraph">
    <w:name w:val="List Paragraph"/>
    <w:basedOn w:val="Normal"/>
    <w:uiPriority w:val="34"/>
    <w:qFormat/>
    <w:rsid w:val="0015098A"/>
    <w:pPr>
      <w:ind w:left="720"/>
      <w:contextualSpacing/>
    </w:pPr>
  </w:style>
  <w:style w:type="character" w:styleId="IntenseEmphasis">
    <w:name w:val="Intense Emphasis"/>
    <w:basedOn w:val="DefaultParagraphFont"/>
    <w:uiPriority w:val="21"/>
    <w:qFormat/>
    <w:rsid w:val="0015098A"/>
    <w:rPr>
      <w:i/>
      <w:iCs/>
      <w:color w:val="0F4761" w:themeColor="accent1" w:themeShade="BF"/>
    </w:rPr>
  </w:style>
  <w:style w:type="paragraph" w:styleId="IntenseQuote">
    <w:name w:val="Intense Quote"/>
    <w:basedOn w:val="Normal"/>
    <w:next w:val="Normal"/>
    <w:link w:val="IntenseQuoteChar"/>
    <w:uiPriority w:val="30"/>
    <w:qFormat/>
    <w:rsid w:val="0015098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5098A"/>
    <w:rPr>
      <w:i/>
      <w:iCs/>
      <w:color w:val="0F4761" w:themeColor="accent1" w:themeShade="BF"/>
    </w:rPr>
  </w:style>
  <w:style w:type="character" w:styleId="IntenseReference">
    <w:name w:val="Intense Reference"/>
    <w:basedOn w:val="DefaultParagraphFont"/>
    <w:uiPriority w:val="32"/>
    <w:qFormat/>
    <w:rsid w:val="0015098A"/>
    <w:rPr>
      <w:b/>
      <w:bCs/>
      <w:smallCaps/>
      <w:color w:val="0F4761" w:themeColor="accent1" w:themeShade="BF"/>
      <w:spacing w:val="5"/>
    </w:rPr>
  </w:style>
  <w:style w:type="table" w:styleId="TableGrid">
    <w:name w:val="Table Grid"/>
    <w:basedOn w:val="TableNormal"/>
    <w:uiPriority w:val="39"/>
    <w:rsid w:val="001509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628">
      <w:bodyDiv w:val="1"/>
      <w:marLeft w:val="0"/>
      <w:marRight w:val="0"/>
      <w:marTop w:val="0"/>
      <w:marBottom w:val="0"/>
      <w:divBdr>
        <w:top w:val="none" w:sz="0" w:space="0" w:color="auto"/>
        <w:left w:val="none" w:sz="0" w:space="0" w:color="auto"/>
        <w:bottom w:val="none" w:sz="0" w:space="0" w:color="auto"/>
        <w:right w:val="none" w:sz="0" w:space="0" w:color="auto"/>
      </w:divBdr>
      <w:divsChild>
        <w:div w:id="957877588">
          <w:marLeft w:val="720"/>
          <w:marRight w:val="0"/>
          <w:marTop w:val="100"/>
          <w:marBottom w:val="0"/>
          <w:divBdr>
            <w:top w:val="none" w:sz="0" w:space="0" w:color="auto"/>
            <w:left w:val="none" w:sz="0" w:space="0" w:color="auto"/>
            <w:bottom w:val="none" w:sz="0" w:space="0" w:color="auto"/>
            <w:right w:val="none" w:sz="0" w:space="0" w:color="auto"/>
          </w:divBdr>
        </w:div>
        <w:div w:id="891506161">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Vorenkamp</dc:creator>
  <keywords/>
  <dc:description/>
  <lastModifiedBy>MAC Assistant</lastModifiedBy>
  <revision>13</revision>
  <dcterms:created xsi:type="dcterms:W3CDTF">2024-09-12T11:59:00.0000000Z</dcterms:created>
  <dcterms:modified xsi:type="dcterms:W3CDTF">2024-09-26T23:10:38.0638702Z</dcterms:modified>
</coreProperties>
</file>